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A5" w:rsidRDefault="00D77E80" w:rsidP="00D77E80">
      <w:pPr>
        <w:jc w:val="center"/>
      </w:pPr>
      <w:r>
        <w:t>PRECONGRESO – ANTIOQUIA</w:t>
      </w:r>
    </w:p>
    <w:p w:rsidR="00D77E80" w:rsidRDefault="00D77E80" w:rsidP="00D77E80">
      <w:pPr>
        <w:jc w:val="center"/>
      </w:pPr>
      <w:r>
        <w:t>PREPARATORIO DEL CONGRESO NACIONAL AFROCOLOMBIANO</w:t>
      </w:r>
    </w:p>
    <w:p w:rsidR="00D77E80" w:rsidRDefault="00D77E80" w:rsidP="00D77E80">
      <w:pPr>
        <w:jc w:val="center"/>
      </w:pPr>
    </w:p>
    <w:tbl>
      <w:tblPr>
        <w:tblStyle w:val="Tablaconcuadrcula"/>
        <w:tblW w:w="10348" w:type="dxa"/>
        <w:tblInd w:w="-1026" w:type="dxa"/>
        <w:tblLook w:val="04A0"/>
      </w:tblPr>
      <w:tblGrid>
        <w:gridCol w:w="2637"/>
        <w:gridCol w:w="3884"/>
        <w:gridCol w:w="3827"/>
      </w:tblGrid>
      <w:tr w:rsidR="00D77E80" w:rsidTr="00D10E6C">
        <w:tc>
          <w:tcPr>
            <w:tcW w:w="2637" w:type="dxa"/>
          </w:tcPr>
          <w:p w:rsidR="00D77E80" w:rsidRDefault="00D77E80" w:rsidP="00D77E80">
            <w:pPr>
              <w:jc w:val="center"/>
            </w:pPr>
            <w:r>
              <w:t>MESA</w:t>
            </w:r>
          </w:p>
        </w:tc>
        <w:tc>
          <w:tcPr>
            <w:tcW w:w="7711" w:type="dxa"/>
            <w:gridSpan w:val="2"/>
          </w:tcPr>
          <w:p w:rsidR="00D77E80" w:rsidRDefault="001E25B7" w:rsidP="001E25B7">
            <w:pPr>
              <w:jc w:val="center"/>
            </w:pPr>
            <w:r>
              <w:rPr>
                <w:rFonts w:asci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PROTOCOLO Y RUTA </w:t>
            </w:r>
            <w:r w:rsidR="00490F5C">
              <w:rPr>
                <w:rFonts w:asci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DE </w:t>
            </w:r>
            <w:r>
              <w:rPr>
                <w:rFonts w:asci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LA </w:t>
            </w:r>
            <w:r w:rsidR="00490F5C">
              <w:rPr>
                <w:rFonts w:ascii="TimesNewRomanPS-BoldMT" w:cs="TimesNewRomanPS-BoldMT"/>
                <w:b/>
                <w:bCs/>
                <w:color w:val="000000"/>
                <w:sz w:val="24"/>
                <w:szCs w:val="24"/>
              </w:rPr>
              <w:t>CONSULTA PREVIA</w:t>
            </w:r>
          </w:p>
        </w:tc>
      </w:tr>
      <w:tr w:rsidR="00D77E80" w:rsidTr="00D10E6C">
        <w:trPr>
          <w:trHeight w:val="230"/>
        </w:trPr>
        <w:tc>
          <w:tcPr>
            <w:tcW w:w="2637" w:type="dxa"/>
            <w:vMerge w:val="restart"/>
          </w:tcPr>
          <w:p w:rsidR="00D77E80" w:rsidRDefault="00D77E80" w:rsidP="00D77E80">
            <w:pPr>
              <w:jc w:val="center"/>
            </w:pPr>
          </w:p>
          <w:p w:rsidR="00D77E80" w:rsidRDefault="00D77E80" w:rsidP="00D77E80">
            <w:pPr>
              <w:jc w:val="center"/>
            </w:pPr>
          </w:p>
          <w:p w:rsidR="00D77E80" w:rsidRDefault="00D77E80" w:rsidP="00D77E80">
            <w:pPr>
              <w:jc w:val="center"/>
            </w:pPr>
            <w:r>
              <w:t>PARTICIPANTES</w:t>
            </w: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  <w:tr w:rsidR="00D77E80" w:rsidTr="00D10E6C">
        <w:trPr>
          <w:trHeight w:val="230"/>
        </w:trPr>
        <w:tc>
          <w:tcPr>
            <w:tcW w:w="2637" w:type="dxa"/>
            <w:vMerge/>
          </w:tcPr>
          <w:p w:rsidR="00D77E80" w:rsidRDefault="00D77E80" w:rsidP="00D77E80">
            <w:pPr>
              <w:jc w:val="center"/>
            </w:pP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  <w:tr w:rsidR="00D77E80" w:rsidTr="00D10E6C">
        <w:trPr>
          <w:trHeight w:val="230"/>
        </w:trPr>
        <w:tc>
          <w:tcPr>
            <w:tcW w:w="2637" w:type="dxa"/>
            <w:vMerge/>
          </w:tcPr>
          <w:p w:rsidR="00D77E80" w:rsidRDefault="00D77E80" w:rsidP="00D77E80">
            <w:pPr>
              <w:jc w:val="center"/>
            </w:pP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  <w:tr w:rsidR="00D77E80" w:rsidTr="00D10E6C">
        <w:trPr>
          <w:trHeight w:val="230"/>
        </w:trPr>
        <w:tc>
          <w:tcPr>
            <w:tcW w:w="2637" w:type="dxa"/>
            <w:vMerge/>
          </w:tcPr>
          <w:p w:rsidR="00D77E80" w:rsidRDefault="00D77E80" w:rsidP="00D77E80">
            <w:pPr>
              <w:jc w:val="center"/>
            </w:pP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  <w:tr w:rsidR="00D77E80" w:rsidTr="00D10E6C">
        <w:trPr>
          <w:trHeight w:val="230"/>
        </w:trPr>
        <w:tc>
          <w:tcPr>
            <w:tcW w:w="2637" w:type="dxa"/>
            <w:vMerge/>
          </w:tcPr>
          <w:p w:rsidR="00D77E80" w:rsidRDefault="00D77E80" w:rsidP="00D77E80">
            <w:pPr>
              <w:jc w:val="center"/>
            </w:pP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  <w:tr w:rsidR="00D77E80" w:rsidTr="00D10E6C">
        <w:trPr>
          <w:trHeight w:val="230"/>
        </w:trPr>
        <w:tc>
          <w:tcPr>
            <w:tcW w:w="2637" w:type="dxa"/>
            <w:vMerge/>
          </w:tcPr>
          <w:p w:rsidR="00D77E80" w:rsidRDefault="00D77E80" w:rsidP="00D77E80">
            <w:pPr>
              <w:jc w:val="center"/>
            </w:pP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</w:tbl>
    <w:p w:rsidR="00D10E6C" w:rsidRDefault="00D10E6C" w:rsidP="00D10E6C">
      <w:pPr>
        <w:autoSpaceDE w:val="0"/>
        <w:autoSpaceDN w:val="0"/>
        <w:adjustRightInd w:val="0"/>
        <w:ind w:left="-1134"/>
        <w:jc w:val="left"/>
      </w:pPr>
    </w:p>
    <w:p w:rsidR="00B21C49" w:rsidRDefault="001E25B7" w:rsidP="00E647DC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La Consulta Previa, Libre e Informada es </w:t>
      </w:r>
      <w:r w:rsidR="00B21C49">
        <w:rPr>
          <w:rFonts w:ascii="TimesNewRomanPSMT" w:cs="TimesNewRomanPSMT"/>
          <w:sz w:val="24"/>
          <w:szCs w:val="24"/>
        </w:rPr>
        <w:t>fundamental para la defensa y garant</w:t>
      </w:r>
      <w:r w:rsidR="00B21C49">
        <w:rPr>
          <w:rFonts w:ascii="TimesNewRomanPSMT" w:cs="TimesNewRomanPSMT"/>
          <w:sz w:val="24"/>
          <w:szCs w:val="24"/>
        </w:rPr>
        <w:t>í</w:t>
      </w:r>
      <w:r w:rsidR="00B21C49">
        <w:rPr>
          <w:rFonts w:ascii="TimesNewRomanPSMT" w:cs="TimesNewRomanPSMT"/>
          <w:sz w:val="24"/>
          <w:szCs w:val="24"/>
        </w:rPr>
        <w:t xml:space="preserve">a de los </w:t>
      </w:r>
      <w:r>
        <w:rPr>
          <w:rFonts w:ascii="TimesNewRomanPSMT" w:cs="TimesNewRomanPSMT"/>
          <w:sz w:val="24"/>
          <w:szCs w:val="24"/>
        </w:rPr>
        <w:t>derechos colectivos a la integridad cultural, el desarrollo, el territorio y la autodeterminaci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comunitaria</w:t>
      </w:r>
      <w:r w:rsidR="00B21C49">
        <w:rPr>
          <w:rFonts w:ascii="TimesNewRomanPSMT" w:cs="TimesNewRomanPSMT"/>
          <w:sz w:val="24"/>
          <w:szCs w:val="24"/>
        </w:rPr>
        <w:t>.</w:t>
      </w:r>
      <w:r>
        <w:rPr>
          <w:rFonts w:ascii="TimesNewRomanPSMT" w:cs="TimesNewRomanPSMT"/>
          <w:sz w:val="24"/>
          <w:szCs w:val="24"/>
        </w:rPr>
        <w:t xml:space="preserve"> </w:t>
      </w:r>
    </w:p>
    <w:p w:rsidR="00B21C49" w:rsidRDefault="00B21C49" w:rsidP="00E647DC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</w:p>
    <w:p w:rsidR="00B21C49" w:rsidRDefault="00B21C49" w:rsidP="00E647DC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El desarrollo legal de la Consulta Previa, debe contemplar </w:t>
      </w:r>
      <w:r w:rsidR="001E25B7">
        <w:rPr>
          <w:rFonts w:ascii="TimesNewRomanPSMT" w:cs="TimesNewRomanPSMT"/>
          <w:sz w:val="24"/>
          <w:szCs w:val="24"/>
        </w:rPr>
        <w:t xml:space="preserve">quien adelanta la consulta, quien asume los costos, el ejercicio de </w:t>
      </w:r>
      <w:r>
        <w:rPr>
          <w:rFonts w:ascii="TimesNewRomanPSMT" w:cs="TimesNewRomanPSMT"/>
          <w:sz w:val="24"/>
          <w:szCs w:val="24"/>
        </w:rPr>
        <w:t xml:space="preserve">la consulta </w:t>
      </w:r>
      <w:r w:rsidR="001E25B7">
        <w:rPr>
          <w:rFonts w:ascii="TimesNewRomanPSMT" w:cs="TimesNewRomanPSMT"/>
          <w:sz w:val="24"/>
          <w:szCs w:val="24"/>
        </w:rPr>
        <w:t>en los contextos urbanos, los tiempos, las consideraciones especiales para los proyectos de ley</w:t>
      </w:r>
      <w:r>
        <w:rPr>
          <w:rFonts w:ascii="TimesNewRomanPSMT" w:cs="TimesNewRomanPSMT"/>
          <w:sz w:val="24"/>
          <w:szCs w:val="24"/>
        </w:rPr>
        <w:t>, ordenanzas y acuerdos; as</w:t>
      </w:r>
      <w:r>
        <w:rPr>
          <w:rFonts w:ascii="TimesNewRomanPSMT" w:cs="TimesNewRomanPSMT"/>
          <w:sz w:val="24"/>
          <w:szCs w:val="24"/>
        </w:rPr>
        <w:t>í</w:t>
      </w:r>
      <w:r>
        <w:rPr>
          <w:rFonts w:ascii="TimesNewRomanPSMT" w:cs="TimesNewRomanPSMT"/>
          <w:sz w:val="24"/>
          <w:szCs w:val="24"/>
        </w:rPr>
        <w:t xml:space="preserve"> como su implementaci</w:t>
      </w:r>
      <w:r>
        <w:rPr>
          <w:rFonts w:ascii="TimesNewRomanPSMT" w:cs="TimesNewRomanPSMT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en</w:t>
      </w:r>
      <w:r w:rsidR="001E25B7">
        <w:rPr>
          <w:rFonts w:ascii="TimesNewRomanPSMT" w:cs="TimesNewRomanPSMT"/>
          <w:sz w:val="24"/>
          <w:szCs w:val="24"/>
        </w:rPr>
        <w:t xml:space="preserve"> los </w:t>
      </w:r>
      <w:r>
        <w:rPr>
          <w:rFonts w:ascii="TimesNewRomanPSMT" w:cs="TimesNewRomanPSMT"/>
          <w:sz w:val="24"/>
          <w:szCs w:val="24"/>
        </w:rPr>
        <w:t xml:space="preserve">diferentes </w:t>
      </w:r>
      <w:r w:rsidR="001E25B7">
        <w:rPr>
          <w:rFonts w:ascii="TimesNewRomanPSMT" w:cs="TimesNewRomanPSMT"/>
          <w:sz w:val="24"/>
          <w:szCs w:val="24"/>
        </w:rPr>
        <w:t>proyectos, obras y actividades que impactar</w:t>
      </w:r>
      <w:r>
        <w:rPr>
          <w:rFonts w:ascii="TimesNewRomanPSMT" w:cs="TimesNewRomanPSMT"/>
          <w:sz w:val="24"/>
          <w:szCs w:val="24"/>
        </w:rPr>
        <w:t>á</w:t>
      </w:r>
      <w:r w:rsidR="001E25B7">
        <w:rPr>
          <w:rFonts w:ascii="TimesNewRomanPSMT" w:cs="TimesNewRomanPSMT"/>
          <w:sz w:val="24"/>
          <w:szCs w:val="24"/>
        </w:rPr>
        <w:t>n los territorios espec</w:t>
      </w:r>
      <w:r w:rsidR="001E25B7">
        <w:rPr>
          <w:rFonts w:ascii="TimesNewRomanPSMT" w:cs="TimesNewRomanPSMT" w:hint="cs"/>
          <w:sz w:val="24"/>
          <w:szCs w:val="24"/>
        </w:rPr>
        <w:t>í</w:t>
      </w:r>
      <w:r w:rsidR="001E25B7">
        <w:rPr>
          <w:rFonts w:ascii="TimesNewRomanPSMT" w:cs="TimesNewRomanPSMT"/>
          <w:sz w:val="24"/>
          <w:szCs w:val="24"/>
        </w:rPr>
        <w:t>ficos</w:t>
      </w:r>
      <w:r>
        <w:rPr>
          <w:rFonts w:ascii="TimesNewRomanPSMT" w:cs="TimesNewRomanPSMT"/>
          <w:sz w:val="24"/>
          <w:szCs w:val="24"/>
        </w:rPr>
        <w:t xml:space="preserve"> y los derechos del pueblo afrocolombiano</w:t>
      </w:r>
      <w:r w:rsidR="001E25B7">
        <w:rPr>
          <w:rFonts w:ascii="TimesNewRomanPSMT" w:cs="TimesNewRomanPSMT"/>
          <w:sz w:val="24"/>
          <w:szCs w:val="24"/>
        </w:rPr>
        <w:t xml:space="preserve">. </w:t>
      </w:r>
    </w:p>
    <w:p w:rsidR="00B21C49" w:rsidRDefault="00B21C49" w:rsidP="00E647DC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</w:p>
    <w:p w:rsidR="00B21C49" w:rsidRDefault="00B21C49" w:rsidP="00E647DC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La </w:t>
      </w:r>
      <w:r w:rsidR="001E25B7">
        <w:rPr>
          <w:rFonts w:ascii="TimesNewRomanPSMT" w:cs="TimesNewRomanPSMT"/>
          <w:sz w:val="24"/>
          <w:szCs w:val="24"/>
        </w:rPr>
        <w:t xml:space="preserve">Mesa </w:t>
      </w:r>
      <w:r>
        <w:rPr>
          <w:rFonts w:ascii="TimesNewRomanPSMT" w:cs="TimesNewRomanPSMT"/>
          <w:sz w:val="24"/>
          <w:szCs w:val="24"/>
        </w:rPr>
        <w:t>deber</w:t>
      </w:r>
      <w:r>
        <w:rPr>
          <w:rFonts w:ascii="TimesNewRomanPSMT" w:cs="TimesNewRomanPSMT"/>
          <w:sz w:val="24"/>
          <w:szCs w:val="24"/>
        </w:rPr>
        <w:t>á</w:t>
      </w:r>
      <w:r>
        <w:rPr>
          <w:rFonts w:ascii="TimesNewRomanPSMT" w:cs="TimesNewRomanPSMT"/>
          <w:sz w:val="24"/>
          <w:szCs w:val="24"/>
        </w:rPr>
        <w:t xml:space="preserve"> debatir sobre los protocolos, fases, rutas y procedimientos para la implementaci</w:t>
      </w:r>
      <w:r>
        <w:rPr>
          <w:rFonts w:ascii="TimesNewRomanPSMT" w:cs="TimesNewRomanPSMT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 xml:space="preserve">n de la consulta previa, libre e informada, aplicable a los diferentes </w:t>
      </w:r>
      <w:r>
        <w:rPr>
          <w:rFonts w:ascii="TimesNewRomanPSMT" w:cs="TimesNewRomanPSMT"/>
          <w:sz w:val="24"/>
          <w:szCs w:val="24"/>
        </w:rPr>
        <w:t>á</w:t>
      </w:r>
      <w:r>
        <w:rPr>
          <w:rFonts w:ascii="TimesNewRomanPSMT" w:cs="TimesNewRomanPSMT"/>
          <w:sz w:val="24"/>
          <w:szCs w:val="24"/>
        </w:rPr>
        <w:t>mbitos y contextos.</w:t>
      </w:r>
      <w:r w:rsidR="001E25B7">
        <w:rPr>
          <w:rFonts w:ascii="TimesNewRomanPSMT" w:cs="TimesNewRomanPSMT"/>
          <w:sz w:val="24"/>
          <w:szCs w:val="24"/>
        </w:rPr>
        <w:t xml:space="preserve"> </w:t>
      </w:r>
    </w:p>
    <w:p w:rsidR="001E25B7" w:rsidRDefault="001E25B7" w:rsidP="00E647DC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</w:p>
    <w:p w:rsidR="00D10E6C" w:rsidRPr="00287C05" w:rsidRDefault="00E647DC" w:rsidP="00E647DC">
      <w:pPr>
        <w:autoSpaceDE w:val="0"/>
        <w:autoSpaceDN w:val="0"/>
        <w:adjustRightInd w:val="0"/>
        <w:ind w:left="-1134"/>
        <w:rPr>
          <w:rFonts w:ascii="TimesNewRomanPSMT" w:cs="TimesNewRomanPSMT"/>
          <w:b/>
          <w:color w:val="222222"/>
          <w:sz w:val="23"/>
          <w:szCs w:val="23"/>
        </w:rPr>
      </w:pPr>
      <w:r w:rsidRPr="00287C05">
        <w:rPr>
          <w:b/>
        </w:rPr>
        <w:t>PREGUNTAS ORIENTADORAS</w:t>
      </w:r>
    </w:p>
    <w:p w:rsidR="0016715A" w:rsidRDefault="0016715A" w:rsidP="00D10E6C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</w:p>
    <w:p w:rsidR="00D10E6C" w:rsidRDefault="00D10E6C" w:rsidP="00D10E6C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¿</w:t>
      </w:r>
      <w:r w:rsidR="00413A01">
        <w:rPr>
          <w:rFonts w:ascii="TimesNewRomanPSMT" w:cs="TimesNewRomanPSMT"/>
          <w:sz w:val="24"/>
          <w:szCs w:val="24"/>
        </w:rPr>
        <w:t>C</w:t>
      </w:r>
      <w:r w:rsidR="00413A01">
        <w:rPr>
          <w:rFonts w:ascii="TimesNewRomanPSMT" w:cs="TimesNewRomanPSMT"/>
          <w:sz w:val="24"/>
          <w:szCs w:val="24"/>
        </w:rPr>
        <w:t>ó</w:t>
      </w:r>
      <w:r w:rsidR="00413A01">
        <w:rPr>
          <w:rFonts w:ascii="TimesNewRomanPSMT" w:cs="TimesNewRomanPSMT"/>
          <w:sz w:val="24"/>
          <w:szCs w:val="24"/>
        </w:rPr>
        <w:t>mo se deber</w:t>
      </w:r>
      <w:r w:rsidR="00413A01">
        <w:rPr>
          <w:rFonts w:ascii="TimesNewRomanPSMT" w:cs="TimesNewRomanPSMT"/>
          <w:sz w:val="24"/>
          <w:szCs w:val="24"/>
        </w:rPr>
        <w:t>í</w:t>
      </w:r>
      <w:r w:rsidR="00413A01">
        <w:rPr>
          <w:rFonts w:ascii="TimesNewRomanPSMT" w:cs="TimesNewRomanPSMT"/>
          <w:sz w:val="24"/>
          <w:szCs w:val="24"/>
        </w:rPr>
        <w:t>an implementar los procesos de consulta previa para que sean libres e informados</w:t>
      </w:r>
      <w:r>
        <w:rPr>
          <w:rFonts w:ascii="TimesNewRomanPSMT" w:cs="TimesNewRomanPSMT"/>
          <w:sz w:val="24"/>
          <w:szCs w:val="24"/>
        </w:rPr>
        <w:t>?</w:t>
      </w:r>
    </w:p>
    <w:p w:rsidR="00D10E6C" w:rsidRDefault="00D10E6C" w:rsidP="00D10E6C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¿</w:t>
      </w:r>
      <w:r w:rsidR="00287C05">
        <w:rPr>
          <w:rFonts w:ascii="TimesNewRomanPSMT" w:cs="TimesNewRomanPSMT"/>
          <w:sz w:val="24"/>
          <w:szCs w:val="24"/>
        </w:rPr>
        <w:t>C</w:t>
      </w:r>
      <w:r w:rsidR="00413A01">
        <w:rPr>
          <w:rFonts w:ascii="TimesNewRomanPSMT" w:cs="TimesNewRomanPSMT"/>
          <w:sz w:val="24"/>
          <w:szCs w:val="24"/>
        </w:rPr>
        <w:t>u</w:t>
      </w:r>
      <w:r w:rsidR="00413A01">
        <w:rPr>
          <w:rFonts w:ascii="TimesNewRomanPSMT" w:cs="TimesNewRomanPSMT"/>
          <w:sz w:val="24"/>
          <w:szCs w:val="24"/>
        </w:rPr>
        <w:t>á</w:t>
      </w:r>
      <w:r w:rsidR="00413A01">
        <w:rPr>
          <w:rFonts w:ascii="TimesNewRomanPSMT" w:cs="TimesNewRomanPSMT"/>
          <w:sz w:val="24"/>
          <w:szCs w:val="24"/>
        </w:rPr>
        <w:t>les deber</w:t>
      </w:r>
      <w:r w:rsidR="00413A01">
        <w:rPr>
          <w:rFonts w:ascii="TimesNewRomanPSMT" w:cs="TimesNewRomanPSMT"/>
          <w:sz w:val="24"/>
          <w:szCs w:val="24"/>
        </w:rPr>
        <w:t>í</w:t>
      </w:r>
      <w:r w:rsidR="00413A01">
        <w:rPr>
          <w:rFonts w:ascii="TimesNewRomanPSMT" w:cs="TimesNewRomanPSMT"/>
          <w:sz w:val="24"/>
          <w:szCs w:val="24"/>
        </w:rPr>
        <w:t>an ser las fases y tiempos para la implementaci</w:t>
      </w:r>
      <w:r w:rsidR="00413A01">
        <w:rPr>
          <w:rFonts w:ascii="TimesNewRomanPSMT" w:cs="TimesNewRomanPSMT"/>
          <w:sz w:val="24"/>
          <w:szCs w:val="24"/>
        </w:rPr>
        <w:t>ó</w:t>
      </w:r>
      <w:r w:rsidR="00413A01">
        <w:rPr>
          <w:rFonts w:ascii="TimesNewRomanPSMT" w:cs="TimesNewRomanPSMT"/>
          <w:sz w:val="24"/>
          <w:szCs w:val="24"/>
        </w:rPr>
        <w:t>n de la consulta previa</w:t>
      </w:r>
      <w:r>
        <w:rPr>
          <w:rFonts w:ascii="TimesNewRomanPSMT" w:cs="TimesNewRomanPSMT"/>
          <w:sz w:val="24"/>
          <w:szCs w:val="24"/>
        </w:rPr>
        <w:t>?</w:t>
      </w:r>
    </w:p>
    <w:p w:rsidR="00D10E6C" w:rsidRPr="00D10E6C" w:rsidRDefault="00D10E6C" w:rsidP="00D10E6C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¿</w:t>
      </w:r>
      <w:r w:rsidR="00287C05">
        <w:rPr>
          <w:rFonts w:ascii="TimesNewRomanPSMT" w:cs="TimesNewRomanPSMT"/>
          <w:sz w:val="24"/>
          <w:szCs w:val="24"/>
        </w:rPr>
        <w:t>Qu</w:t>
      </w:r>
      <w:r w:rsidR="00287C05">
        <w:rPr>
          <w:rFonts w:ascii="TimesNewRomanPSMT" w:cs="TimesNewRomanPSMT"/>
          <w:sz w:val="24"/>
          <w:szCs w:val="24"/>
        </w:rPr>
        <w:t>é</w:t>
      </w:r>
      <w:r w:rsidR="00287C05">
        <w:rPr>
          <w:rFonts w:ascii="TimesNewRomanPSMT" w:cs="TimesNewRomanPSMT"/>
          <w:sz w:val="24"/>
          <w:szCs w:val="24"/>
        </w:rPr>
        <w:t xml:space="preserve"> procedimientos implementar para ratificar y legitimar l</w:t>
      </w:r>
      <w:r w:rsidR="00413A01">
        <w:rPr>
          <w:rFonts w:ascii="TimesNewRomanPSMT" w:cs="TimesNewRomanPSMT"/>
          <w:sz w:val="24"/>
          <w:szCs w:val="24"/>
        </w:rPr>
        <w:t>o</w:t>
      </w:r>
      <w:r w:rsidR="00287C05">
        <w:rPr>
          <w:rFonts w:ascii="TimesNewRomanPSMT" w:cs="TimesNewRomanPSMT"/>
          <w:sz w:val="24"/>
          <w:szCs w:val="24"/>
        </w:rPr>
        <w:t xml:space="preserve">s </w:t>
      </w:r>
      <w:r w:rsidR="00413A01">
        <w:rPr>
          <w:rFonts w:ascii="TimesNewRomanPSMT" w:cs="TimesNewRomanPSMT"/>
          <w:sz w:val="24"/>
          <w:szCs w:val="24"/>
        </w:rPr>
        <w:t>procesos de consulta previa libre e informada</w:t>
      </w:r>
      <w:r>
        <w:rPr>
          <w:rFonts w:ascii="TimesNewRomanPSMT" w:cs="TimesNewRomanPSMT"/>
          <w:sz w:val="24"/>
          <w:szCs w:val="24"/>
        </w:rPr>
        <w:t>?</w:t>
      </w:r>
    </w:p>
    <w:p w:rsidR="00D77E80" w:rsidRDefault="00D77E80" w:rsidP="00D10E6C">
      <w:pPr>
        <w:jc w:val="center"/>
      </w:pPr>
    </w:p>
    <w:tbl>
      <w:tblPr>
        <w:tblStyle w:val="Tablaconcuadrcula"/>
        <w:tblW w:w="10348" w:type="dxa"/>
        <w:tblInd w:w="-1026" w:type="dxa"/>
        <w:tblLook w:val="04A0"/>
      </w:tblPr>
      <w:tblGrid>
        <w:gridCol w:w="2835"/>
        <w:gridCol w:w="3898"/>
        <w:gridCol w:w="3615"/>
      </w:tblGrid>
      <w:tr w:rsidR="00D77E80" w:rsidTr="00D10E6C">
        <w:tc>
          <w:tcPr>
            <w:tcW w:w="2835" w:type="dxa"/>
          </w:tcPr>
          <w:p w:rsidR="00D77E80" w:rsidRDefault="00D77E80" w:rsidP="00D77E80">
            <w:pPr>
              <w:jc w:val="center"/>
            </w:pPr>
            <w:r>
              <w:t>TEMAS EN DISCUSIÓN</w:t>
            </w:r>
          </w:p>
        </w:tc>
        <w:tc>
          <w:tcPr>
            <w:tcW w:w="3898" w:type="dxa"/>
          </w:tcPr>
          <w:p w:rsidR="00D77E80" w:rsidRDefault="00D77E80" w:rsidP="00D77E80">
            <w:pPr>
              <w:jc w:val="center"/>
            </w:pPr>
            <w:r>
              <w:t>APRENDIZAJES</w:t>
            </w:r>
          </w:p>
        </w:tc>
        <w:tc>
          <w:tcPr>
            <w:tcW w:w="3615" w:type="dxa"/>
          </w:tcPr>
          <w:p w:rsidR="00D77E80" w:rsidRDefault="00D77E80" w:rsidP="00D77E80">
            <w:pPr>
              <w:jc w:val="center"/>
            </w:pPr>
            <w:r>
              <w:t>RECOMENDACIONES</w:t>
            </w:r>
          </w:p>
        </w:tc>
      </w:tr>
      <w:tr w:rsidR="00D10E6C" w:rsidTr="00D10E6C">
        <w:trPr>
          <w:trHeight w:val="134"/>
        </w:trPr>
        <w:tc>
          <w:tcPr>
            <w:tcW w:w="2835" w:type="dxa"/>
          </w:tcPr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287C05" w:rsidRDefault="00287C05" w:rsidP="00D77E80">
            <w:pPr>
              <w:jc w:val="center"/>
              <w:rPr>
                <w:sz w:val="40"/>
                <w:szCs w:val="40"/>
              </w:rPr>
            </w:pPr>
          </w:p>
          <w:p w:rsidR="00287C05" w:rsidRDefault="00287C05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413A01" w:rsidRDefault="00413A01" w:rsidP="00D77E80">
            <w:pPr>
              <w:jc w:val="center"/>
              <w:rPr>
                <w:sz w:val="40"/>
                <w:szCs w:val="40"/>
              </w:rPr>
            </w:pPr>
          </w:p>
          <w:p w:rsidR="00413A01" w:rsidRDefault="00413A01" w:rsidP="00D77E80">
            <w:pPr>
              <w:jc w:val="center"/>
              <w:rPr>
                <w:sz w:val="40"/>
                <w:szCs w:val="40"/>
              </w:rPr>
            </w:pPr>
          </w:p>
          <w:p w:rsidR="00413A01" w:rsidRDefault="00413A01" w:rsidP="00D77E80">
            <w:pPr>
              <w:jc w:val="center"/>
              <w:rPr>
                <w:sz w:val="40"/>
                <w:szCs w:val="40"/>
              </w:rPr>
            </w:pPr>
          </w:p>
          <w:p w:rsidR="00D10E6C" w:rsidRPr="00D77E80" w:rsidRDefault="00D10E6C" w:rsidP="00D77E8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898" w:type="dxa"/>
          </w:tcPr>
          <w:p w:rsidR="00D10E6C" w:rsidRPr="00D77E80" w:rsidRDefault="00D10E6C" w:rsidP="00D77E8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15" w:type="dxa"/>
          </w:tcPr>
          <w:p w:rsidR="00D10E6C" w:rsidRPr="00D77E80" w:rsidRDefault="00D10E6C" w:rsidP="00D77E80">
            <w:pPr>
              <w:jc w:val="center"/>
              <w:rPr>
                <w:sz w:val="40"/>
                <w:szCs w:val="40"/>
              </w:rPr>
            </w:pPr>
          </w:p>
        </w:tc>
      </w:tr>
    </w:tbl>
    <w:p w:rsidR="00D77E80" w:rsidRPr="00742C62" w:rsidRDefault="00D77E80" w:rsidP="00D77E80">
      <w:pPr>
        <w:jc w:val="center"/>
      </w:pPr>
    </w:p>
    <w:sectPr w:rsidR="00D77E80" w:rsidRPr="00742C62" w:rsidSect="00287C05">
      <w:pgSz w:w="12240" w:h="15840" w:code="1"/>
      <w:pgMar w:top="851" w:right="760" w:bottom="284" w:left="2268" w:header="720" w:footer="720" w:gutter="0"/>
      <w:cols w:space="708"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51B"/>
    <w:multiLevelType w:val="multilevel"/>
    <w:tmpl w:val="B0E2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88675D"/>
    <w:multiLevelType w:val="hybridMultilevel"/>
    <w:tmpl w:val="7110EA44"/>
    <w:lvl w:ilvl="0" w:tplc="83F61DE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77"/>
  <w:displayHorizontalDrawingGridEvery w:val="2"/>
  <w:displayVerticalDrawingGridEvery w:val="2"/>
  <w:characterSpacingControl w:val="doNotCompress"/>
  <w:compat/>
  <w:rsids>
    <w:rsidRoot w:val="00D77E80"/>
    <w:rsid w:val="00014850"/>
    <w:rsid w:val="0016715A"/>
    <w:rsid w:val="001E25B7"/>
    <w:rsid w:val="00246A3A"/>
    <w:rsid w:val="00287C05"/>
    <w:rsid w:val="002F05C0"/>
    <w:rsid w:val="003A618B"/>
    <w:rsid w:val="00413A01"/>
    <w:rsid w:val="00490F5C"/>
    <w:rsid w:val="006E1004"/>
    <w:rsid w:val="007142BB"/>
    <w:rsid w:val="00742C62"/>
    <w:rsid w:val="007C3E93"/>
    <w:rsid w:val="009D6D80"/>
    <w:rsid w:val="00A343F0"/>
    <w:rsid w:val="00B21C49"/>
    <w:rsid w:val="00B27CC3"/>
    <w:rsid w:val="00B40848"/>
    <w:rsid w:val="00BA0DA5"/>
    <w:rsid w:val="00BD5323"/>
    <w:rsid w:val="00D10E6C"/>
    <w:rsid w:val="00D3528D"/>
    <w:rsid w:val="00D36F20"/>
    <w:rsid w:val="00D77E80"/>
    <w:rsid w:val="00DC1837"/>
    <w:rsid w:val="00E647DC"/>
    <w:rsid w:val="00FF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7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10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2</cp:revision>
  <cp:lastPrinted>2013-07-18T22:25:00Z</cp:lastPrinted>
  <dcterms:created xsi:type="dcterms:W3CDTF">2013-07-19T22:43:00Z</dcterms:created>
  <dcterms:modified xsi:type="dcterms:W3CDTF">2013-07-19T22:43:00Z</dcterms:modified>
</cp:coreProperties>
</file>